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6FF5" w14:textId="11075308" w:rsidR="00DF1CA4" w:rsidRPr="001109FC" w:rsidRDefault="00A47164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1109FC">
        <w:rPr>
          <w:rFonts w:asciiTheme="minorHAnsi" w:hAnsiTheme="minorHAnsi" w:cstheme="minorHAnsi"/>
          <w:b w:val="0"/>
          <w:sz w:val="22"/>
        </w:rPr>
        <w:t>Informacje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zabezpieczenia gospodarstw przed wirusem ASF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b w:val="0"/>
          <w:sz w:val="22"/>
        </w:rPr>
        <w:t xml:space="preserve">terytorium Polski </w:t>
      </w:r>
      <w:r w:rsidR="00DF1CA4" w:rsidRPr="001109FC">
        <w:rPr>
          <w:rFonts w:asciiTheme="minorHAnsi" w:hAnsiTheme="minorHAnsi" w:cstheme="minorHAnsi"/>
          <w:b w:val="0"/>
          <w:sz w:val="22"/>
        </w:rPr>
        <w:br/>
      </w:r>
      <w:r w:rsidR="00AF5800" w:rsidRPr="001109FC">
        <w:rPr>
          <w:rFonts w:asciiTheme="minorHAnsi" w:hAnsiTheme="minorHAnsi" w:cstheme="minorHAnsi"/>
          <w:sz w:val="22"/>
        </w:rPr>
        <w:t>wynikające</w:t>
      </w:r>
      <w:r w:rsidR="00396ED5" w:rsidRPr="001109FC">
        <w:rPr>
          <w:rFonts w:asciiTheme="minorHAnsi" w:hAnsiTheme="minorHAnsi" w:cstheme="minorHAnsi"/>
          <w:sz w:val="22"/>
        </w:rPr>
        <w:t>go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6 maja 2015 r. w sprawie środków podejmowanych w związku z wystąpieniem afrykańskiego pomoru świń, zmienionym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60BB8C2D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</w:t>
      </w:r>
      <w:r w:rsidR="000411AD" w:rsidRPr="00A62CDC">
        <w:t xml:space="preserve"> </w:t>
      </w:r>
      <w:r>
        <w:t xml:space="preserve">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 terytorium Polski </w:t>
      </w:r>
      <w:r w:rsidR="00DF1CA4">
        <w:t>poza obszarami objętymi</w:t>
      </w:r>
      <w:r w:rsidR="008A2648">
        <w:t xml:space="preserve"> restrykcjami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37B7BEAC" w:rsidR="00A47164" w:rsidRPr="002C47B6" w:rsidRDefault="00FF5C2F" w:rsidP="003E3C4B">
      <w:pPr>
        <w:spacing w:after="120" w:line="240" w:lineRule="auto"/>
        <w:contextualSpacing/>
        <w:jc w:val="center"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5367DC9D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14769BFD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 obowiązuje również zakaz:</w:t>
      </w:r>
    </w:p>
    <w:p w14:paraId="3D84E6E0" w14:textId="254AED83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415C67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pochodzących z obszaru objętego ograniczeniami lub obszaru zagrożenia, chyba że tę zielonkę lub to ziarno poddano obróbce w celu unieszkodliwienia wirusa ASF lub składowano w miejscu niedostępnym dla dzików co najmniej przez 30 dni przed ich podaniem świniom  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14:paraId="7DC33517" w14:textId="3B4C7459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na podstawie 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34361413" w14:textId="77777777" w:rsidR="002C47B6" w:rsidRDefault="002C47B6" w:rsidP="00736BD5">
      <w:pPr>
        <w:spacing w:after="120" w:line="240" w:lineRule="auto"/>
        <w:contextualSpacing/>
        <w:jc w:val="both"/>
      </w:pP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23B5345B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 xml:space="preserve"> 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B40106E" w14:textId="18EA52EF" w:rsidR="00374739" w:rsidRPr="00736BD5" w:rsidRDefault="003E3C4B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Nie wcześniej niż po upływie roku </w:t>
      </w:r>
      <w:r w:rsidR="00374739">
        <w:t>od czasowego wstrzymania utrzymywania świń, hodowca może zgłosić się do powiatowego lekarza weterynarii, że spełnił wymagania</w:t>
      </w:r>
      <w:r>
        <w:t>.</w:t>
      </w:r>
      <w:r w:rsidR="00374739">
        <w:t xml:space="preserve"> </w:t>
      </w:r>
      <w:r w:rsidR="009B2090">
        <w:t xml:space="preserve">Jeżeli kontrola </w:t>
      </w:r>
      <w:r w:rsidRPr="003E3C4B">
        <w:t>weterynaryjna przeprowadzona na wniosek posiadacza zwierząt wykaże, że w gospodarstwie zapewnion</w:t>
      </w:r>
      <w:r>
        <w:t>o</w:t>
      </w:r>
      <w:r w:rsidRPr="003E3C4B">
        <w:t xml:space="preserve"> spełnianie wymagań</w:t>
      </w:r>
      <w:r>
        <w:t>, p</w:t>
      </w:r>
      <w:r w:rsidRPr="003E3C4B">
        <w:t>owiatowy lekarz weterynarii może uchylić zakaz utrzymywania w gospodarstwie</w:t>
      </w:r>
      <w:r>
        <w:t xml:space="preserve"> świń. </w:t>
      </w:r>
    </w:p>
    <w:p w14:paraId="22D8DAB9" w14:textId="77777777" w:rsidR="008A2648" w:rsidRDefault="008A2648" w:rsidP="008A2648">
      <w:pPr>
        <w:spacing w:after="120" w:line="240" w:lineRule="auto"/>
        <w:jc w:val="both"/>
        <w:rPr>
          <w:b/>
        </w:rPr>
      </w:pPr>
    </w:p>
    <w:p w14:paraId="195A7477" w14:textId="7E945124" w:rsidR="00860E4A" w:rsidRPr="002C47B6" w:rsidRDefault="004C576F" w:rsidP="00053555">
      <w:pPr>
        <w:spacing w:after="120" w:line="240" w:lineRule="auto"/>
        <w:contextualSpacing/>
        <w:jc w:val="both"/>
      </w:pPr>
      <w:r w:rsidRPr="002C47B6">
        <w:rPr>
          <w:b/>
        </w:rPr>
        <w:t xml:space="preserve">Istnieje możliwość skorzystania ze wsparcia </w:t>
      </w:r>
      <w:r w:rsidR="008A2648" w:rsidRPr="002C47B6">
        <w:rPr>
          <w:b/>
        </w:rPr>
        <w:t xml:space="preserve"> finansowe</w:t>
      </w:r>
      <w:r w:rsidRPr="002C47B6">
        <w:rPr>
          <w:b/>
        </w:rPr>
        <w:t>go</w:t>
      </w:r>
      <w:r w:rsidR="00860E4A" w:rsidRPr="002C47B6">
        <w:rPr>
          <w:b/>
        </w:rPr>
        <w:t xml:space="preserve"> </w:t>
      </w:r>
      <w:r w:rsidRPr="002C47B6">
        <w:rPr>
          <w:b/>
        </w:rPr>
        <w:t xml:space="preserve">dla gospodarstw </w:t>
      </w:r>
      <w:r w:rsidR="00860E4A" w:rsidRPr="002C47B6">
        <w:rPr>
          <w:b/>
        </w:rPr>
        <w:t xml:space="preserve">w przypadku czasowej likwidacji hodowli świń w </w:t>
      </w:r>
      <w:r w:rsidRPr="002C47B6">
        <w:rPr>
          <w:b/>
        </w:rPr>
        <w:t>wyniku wydania decyzji powiatowego lekarza weterynarii</w:t>
      </w:r>
      <w:r w:rsidR="003E3C4B" w:rsidRPr="002C47B6">
        <w:rPr>
          <w:b/>
        </w:rPr>
        <w:t>.</w:t>
      </w:r>
      <w:r w:rsidRPr="002C47B6">
        <w:rPr>
          <w:b/>
        </w:rPr>
        <w:t xml:space="preserve"> </w:t>
      </w:r>
      <w:r w:rsidRPr="002C47B6">
        <w:t xml:space="preserve">Wypłata środków finansowych będzie </w:t>
      </w:r>
      <w:r w:rsidR="006269ED" w:rsidRPr="002C47B6">
        <w:t>realizowan</w:t>
      </w:r>
      <w:r w:rsidRPr="002C47B6">
        <w:t>a</w:t>
      </w:r>
      <w:r w:rsidR="006269ED" w:rsidRPr="002C47B6">
        <w:t xml:space="preserve"> </w:t>
      </w:r>
      <w:r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860E4A" w:rsidRPr="002C47B6">
        <w:t>Przewidywane jest wsparcie w wysokości 132</w:t>
      </w:r>
      <w:r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 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7911B6AA" w14:textId="77777777" w:rsidR="002C47B6" w:rsidRDefault="002C47B6" w:rsidP="00053555">
      <w:pPr>
        <w:spacing w:after="120" w:line="240" w:lineRule="auto"/>
        <w:contextualSpacing/>
        <w:jc w:val="both"/>
        <w:rPr>
          <w:b/>
          <w:u w:val="single"/>
        </w:rPr>
      </w:pP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DA93" w14:textId="77777777" w:rsidR="00160E69" w:rsidRDefault="00160E69" w:rsidP="004E39CE">
      <w:pPr>
        <w:spacing w:after="0" w:line="240" w:lineRule="auto"/>
      </w:pPr>
      <w:r>
        <w:separator/>
      </w:r>
    </w:p>
  </w:endnote>
  <w:endnote w:type="continuationSeparator" w:id="0">
    <w:p w14:paraId="198BE938" w14:textId="77777777" w:rsidR="00160E69" w:rsidRDefault="00160E69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31BC" w14:textId="77777777" w:rsidR="004E39CE" w:rsidRDefault="004E3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FE7F" w14:textId="77777777" w:rsidR="00160E69" w:rsidRDefault="00160E69" w:rsidP="004E39CE">
      <w:pPr>
        <w:spacing w:after="0" w:line="240" w:lineRule="auto"/>
      </w:pPr>
      <w:r>
        <w:separator/>
      </w:r>
    </w:p>
  </w:footnote>
  <w:footnote w:type="continuationSeparator" w:id="0">
    <w:p w14:paraId="322260F2" w14:textId="77777777" w:rsidR="00160E69" w:rsidRDefault="00160E69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79FD"/>
    <w:rsid w:val="000230C9"/>
    <w:rsid w:val="000411AD"/>
    <w:rsid w:val="00053555"/>
    <w:rsid w:val="0005462B"/>
    <w:rsid w:val="00077FE8"/>
    <w:rsid w:val="000C601D"/>
    <w:rsid w:val="001109FC"/>
    <w:rsid w:val="001536D5"/>
    <w:rsid w:val="00160E69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7307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D3CDE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297C"/>
    <w:rsid w:val="00DF1CA4"/>
    <w:rsid w:val="00E41AC2"/>
    <w:rsid w:val="00E6145B"/>
    <w:rsid w:val="00E62FBA"/>
    <w:rsid w:val="00EF4468"/>
    <w:rsid w:val="00F60E5B"/>
    <w:rsid w:val="00F74347"/>
    <w:rsid w:val="00F83ECB"/>
    <w:rsid w:val="00F86879"/>
    <w:rsid w:val="00FC238F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  <w15:docId w15:val="{E5F8002B-03E4-45DC-BF42-7036571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5FC7-10FA-4B72-B6CF-D5944D2F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PLW</cp:lastModifiedBy>
  <cp:revision>2</cp:revision>
  <cp:lastPrinted>2018-02-28T07:40:00Z</cp:lastPrinted>
  <dcterms:created xsi:type="dcterms:W3CDTF">2018-02-28T07:42:00Z</dcterms:created>
  <dcterms:modified xsi:type="dcterms:W3CDTF">2018-02-28T07:42:00Z</dcterms:modified>
</cp:coreProperties>
</file>