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23" w:rsidRDefault="00B66A00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Annex</w:t>
      </w:r>
      <w:proofErr w:type="spellEnd"/>
      <w:r>
        <w:rPr>
          <w:sz w:val="20"/>
          <w:szCs w:val="20"/>
        </w:rPr>
        <w:t xml:space="preserve"> no. 6 to the </w:t>
      </w:r>
      <w:proofErr w:type="spellStart"/>
      <w:r>
        <w:rPr>
          <w:sz w:val="20"/>
          <w:szCs w:val="20"/>
        </w:rPr>
        <w:t>Request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Proposal</w:t>
      </w:r>
      <w:proofErr w:type="spellEnd"/>
      <w:r>
        <w:rPr>
          <w:sz w:val="20"/>
          <w:szCs w:val="20"/>
        </w:rPr>
        <w:t xml:space="preserve"> no. </w:t>
      </w:r>
      <w:r w:rsidR="00BB6780" w:rsidRPr="00BB6780">
        <w:rPr>
          <w:sz w:val="20"/>
          <w:szCs w:val="20"/>
        </w:rPr>
        <w:t>5/2019/POWR.03.03.00-00-M088/16</w:t>
      </w:r>
    </w:p>
    <w:p w:rsidR="00464023" w:rsidRDefault="0046402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</w:p>
    <w:p w:rsidR="00464023" w:rsidRDefault="00B66A00">
      <w:pPr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Agreement of outsourcing of </w:t>
      </w:r>
      <w:proofErr w:type="spellStart"/>
      <w:r>
        <w:rPr>
          <w:b/>
          <w:bCs/>
          <w:smallCaps/>
          <w:sz w:val="20"/>
          <w:szCs w:val="20"/>
        </w:rPr>
        <w:t>processing</w:t>
      </w:r>
      <w:proofErr w:type="spellEnd"/>
      <w:r>
        <w:rPr>
          <w:b/>
          <w:bCs/>
          <w:smallCaps/>
          <w:sz w:val="20"/>
          <w:szCs w:val="20"/>
        </w:rPr>
        <w:t xml:space="preserve"> of </w:t>
      </w:r>
      <w:proofErr w:type="spellStart"/>
      <w:r>
        <w:rPr>
          <w:b/>
          <w:bCs/>
          <w:smallCaps/>
          <w:sz w:val="20"/>
          <w:szCs w:val="20"/>
        </w:rPr>
        <w:t>personal</w:t>
      </w:r>
      <w:proofErr w:type="spellEnd"/>
      <w:r>
        <w:rPr>
          <w:b/>
          <w:bCs/>
          <w:smallCaps/>
          <w:sz w:val="20"/>
          <w:szCs w:val="20"/>
        </w:rPr>
        <w:t xml:space="preserve"> data</w:t>
      </w:r>
    </w:p>
    <w:p w:rsidR="00464023" w:rsidRDefault="00464023">
      <w:pPr>
        <w:spacing w:after="0" w:line="240" w:lineRule="auto"/>
        <w:jc w:val="both"/>
        <w:rPr>
          <w:b/>
          <w:bCs/>
          <w:smallCaps/>
          <w:sz w:val="10"/>
          <w:szCs w:val="10"/>
        </w:rPr>
      </w:pPr>
    </w:p>
    <w:p w:rsidR="00464023" w:rsidRDefault="00B66A00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concluded</w:t>
      </w:r>
      <w:proofErr w:type="spellEnd"/>
      <w:r>
        <w:rPr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……………… in</w:t>
      </w:r>
      <w:r>
        <w:rPr>
          <w:sz w:val="20"/>
          <w:szCs w:val="20"/>
        </w:rPr>
        <w:t xml:space="preserve"> Dąbrowie G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rniczej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hereinafter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referred</w:t>
      </w:r>
      <w:proofErr w:type="spellEnd"/>
      <w:r>
        <w:rPr>
          <w:sz w:val="20"/>
          <w:szCs w:val="20"/>
        </w:rPr>
        <w:t xml:space="preserve"> to as </w:t>
      </w:r>
      <w:r>
        <w:rPr>
          <w:b/>
          <w:bCs/>
          <w:sz w:val="20"/>
          <w:szCs w:val="20"/>
        </w:rPr>
        <w:t>Agreement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>:</w:t>
      </w:r>
    </w:p>
    <w:p w:rsidR="00464023" w:rsidRDefault="00B66A00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lang w:val="en-US"/>
        </w:rPr>
        <w:t>WSB University</w:t>
      </w:r>
      <w:r>
        <w:rPr>
          <w:lang w:val="en-US"/>
        </w:rPr>
        <w:t xml:space="preserve"> with registered office: 41-300 D</w:t>
      </w:r>
      <w:proofErr w:type="spellStart"/>
      <w:r>
        <w:t>ąbrowa</w:t>
      </w:r>
      <w:proofErr w:type="spellEnd"/>
      <w:r>
        <w:t xml:space="preserve"> G</w:t>
      </w:r>
      <w:r>
        <w:rPr>
          <w:lang w:val="es-ES_tradnl"/>
        </w:rPr>
        <w:t>ó</w:t>
      </w:r>
      <w:proofErr w:type="spellStart"/>
      <w:r>
        <w:t>rnicza</w:t>
      </w:r>
      <w:proofErr w:type="spellEnd"/>
      <w:r>
        <w:t xml:space="preserve">, 1c Cieplaka </w:t>
      </w:r>
      <w:proofErr w:type="spellStart"/>
      <w:r>
        <w:t>Street</w:t>
      </w:r>
      <w:proofErr w:type="spellEnd"/>
      <w:r>
        <w:t>,</w:t>
      </w:r>
    </w:p>
    <w:p w:rsidR="00464023" w:rsidRDefault="00B66A00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registered</w:t>
      </w:r>
      <w:proofErr w:type="spellEnd"/>
      <w:r>
        <w:rPr>
          <w:sz w:val="20"/>
          <w:szCs w:val="20"/>
        </w:rPr>
        <w:t xml:space="preserve"> in the Register of Non-</w:t>
      </w:r>
      <w:proofErr w:type="spellStart"/>
      <w:r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instutions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no. 66, </w:t>
      </w:r>
    </w:p>
    <w:p w:rsidR="00464023" w:rsidRDefault="008D54A2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represented</w:t>
      </w:r>
      <w:proofErr w:type="spellEnd"/>
      <w:r>
        <w:rPr>
          <w:sz w:val="20"/>
          <w:szCs w:val="20"/>
        </w:rPr>
        <w:t xml:space="preserve"> by:……………………………………………………………………</w:t>
      </w:r>
      <w:bookmarkStart w:id="0" w:name="_GoBack"/>
      <w:bookmarkEnd w:id="0"/>
    </w:p>
    <w:p w:rsidR="00464023" w:rsidRDefault="00B66A00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hereinafter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referred</w:t>
      </w:r>
      <w:proofErr w:type="spellEnd"/>
      <w:r>
        <w:rPr>
          <w:sz w:val="20"/>
          <w:szCs w:val="20"/>
        </w:rPr>
        <w:t xml:space="preserve"> to as ‚</w:t>
      </w:r>
      <w:r>
        <w:rPr>
          <w:b/>
          <w:bCs/>
          <w:sz w:val="20"/>
          <w:szCs w:val="20"/>
        </w:rPr>
        <w:t xml:space="preserve">Data Administrator’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‚Administrator’,</w:t>
      </w:r>
    </w:p>
    <w:p w:rsidR="00464023" w:rsidRDefault="00464023">
      <w:pPr>
        <w:spacing w:after="0" w:line="240" w:lineRule="auto"/>
        <w:jc w:val="both"/>
        <w:rPr>
          <w:sz w:val="6"/>
          <w:szCs w:val="6"/>
        </w:rPr>
      </w:pPr>
    </w:p>
    <w:p w:rsidR="00464023" w:rsidRDefault="00B66A00">
      <w:pPr>
        <w:spacing w:after="0" w:line="240" w:lineRule="auto"/>
        <w:jc w:val="both"/>
        <w:rPr>
          <w:sz w:val="20"/>
          <w:szCs w:val="20"/>
        </w:rPr>
      </w:pPr>
      <w:r>
        <w:t>and</w:t>
      </w:r>
    </w:p>
    <w:p w:rsidR="00464023" w:rsidRDefault="00464023">
      <w:pPr>
        <w:spacing w:after="0" w:line="240" w:lineRule="auto"/>
        <w:jc w:val="both"/>
        <w:rPr>
          <w:sz w:val="6"/>
          <w:szCs w:val="6"/>
        </w:rPr>
      </w:pPr>
    </w:p>
    <w:p w:rsidR="00464023" w:rsidRDefault="00B66A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……………………………………………………..</w:t>
      </w:r>
    </w:p>
    <w:p w:rsidR="00464023" w:rsidRDefault="00B66A00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hereinafter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referred</w:t>
      </w:r>
      <w:proofErr w:type="spellEnd"/>
      <w:r>
        <w:rPr>
          <w:sz w:val="20"/>
          <w:szCs w:val="20"/>
        </w:rPr>
        <w:t xml:space="preserve"> to as </w:t>
      </w:r>
      <w:r>
        <w:rPr>
          <w:b/>
          <w:bCs/>
          <w:sz w:val="20"/>
          <w:szCs w:val="20"/>
        </w:rPr>
        <w:t xml:space="preserve">‚the </w:t>
      </w:r>
      <w:proofErr w:type="spellStart"/>
      <w:r>
        <w:rPr>
          <w:b/>
          <w:bCs/>
          <w:sz w:val="20"/>
          <w:szCs w:val="20"/>
        </w:rPr>
        <w:t>Processor</w:t>
      </w:r>
      <w:proofErr w:type="spellEnd"/>
      <w:r>
        <w:rPr>
          <w:b/>
          <w:bCs/>
          <w:sz w:val="20"/>
          <w:szCs w:val="20"/>
        </w:rPr>
        <w:t>’</w:t>
      </w:r>
    </w:p>
    <w:p w:rsidR="00464023" w:rsidRDefault="00B66A00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together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referred</w:t>
      </w:r>
      <w:proofErr w:type="spellEnd"/>
      <w:r>
        <w:rPr>
          <w:sz w:val="20"/>
          <w:szCs w:val="20"/>
        </w:rPr>
        <w:t xml:space="preserve"> to as ‚</w:t>
      </w:r>
      <w:proofErr w:type="spellStart"/>
      <w:r>
        <w:rPr>
          <w:b/>
          <w:bCs/>
          <w:sz w:val="20"/>
          <w:szCs w:val="20"/>
        </w:rPr>
        <w:t>Parties</w:t>
      </w:r>
      <w:proofErr w:type="spellEnd"/>
      <w:r>
        <w:rPr>
          <w:b/>
          <w:bCs/>
          <w:sz w:val="20"/>
          <w:szCs w:val="20"/>
        </w:rPr>
        <w:t>’</w:t>
      </w:r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them</w:t>
      </w:r>
      <w:proofErr w:type="spellEnd"/>
      <w:r>
        <w:rPr>
          <w:sz w:val="20"/>
          <w:szCs w:val="20"/>
        </w:rPr>
        <w:t xml:space="preserve"> as ‚</w:t>
      </w:r>
      <w:r>
        <w:rPr>
          <w:b/>
          <w:bCs/>
          <w:sz w:val="20"/>
          <w:szCs w:val="20"/>
        </w:rPr>
        <w:t>Party’</w:t>
      </w:r>
      <w:r>
        <w:rPr>
          <w:sz w:val="20"/>
          <w:szCs w:val="20"/>
        </w:rPr>
        <w:t>.</w:t>
      </w:r>
    </w:p>
    <w:p w:rsidR="00464023" w:rsidRDefault="00464023">
      <w:pPr>
        <w:spacing w:after="0" w:line="240" w:lineRule="auto"/>
        <w:jc w:val="both"/>
        <w:rPr>
          <w:sz w:val="20"/>
          <w:szCs w:val="20"/>
        </w:rPr>
      </w:pPr>
    </w:p>
    <w:p w:rsidR="00464023" w:rsidRDefault="00B66A00">
      <w:pPr>
        <w:pStyle w:val="Podtytu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Outsourcing of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</w:t>
      </w:r>
    </w:p>
    <w:p w:rsidR="00464023" w:rsidRDefault="00B66A0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Administrator </w:t>
      </w:r>
      <w:proofErr w:type="spellStart"/>
      <w:r>
        <w:rPr>
          <w:sz w:val="20"/>
          <w:szCs w:val="20"/>
        </w:rPr>
        <w:t>entrusts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pursuant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28 of General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 xml:space="preserve"> (EC) of 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Parliament</w:t>
      </w:r>
      <w:proofErr w:type="spellEnd"/>
      <w:r>
        <w:rPr>
          <w:sz w:val="20"/>
          <w:szCs w:val="20"/>
        </w:rPr>
        <w:t xml:space="preserve"> and of the </w:t>
      </w:r>
      <w:proofErr w:type="spellStart"/>
      <w:r>
        <w:rPr>
          <w:sz w:val="20"/>
          <w:szCs w:val="20"/>
        </w:rPr>
        <w:t>Council</w:t>
      </w:r>
      <w:proofErr w:type="spellEnd"/>
      <w:r>
        <w:rPr>
          <w:sz w:val="20"/>
          <w:szCs w:val="20"/>
        </w:rPr>
        <w:t xml:space="preserve"> (EU) No. 2016/679 </w:t>
      </w:r>
      <w:proofErr w:type="spellStart"/>
      <w:r>
        <w:rPr>
          <w:sz w:val="20"/>
          <w:szCs w:val="20"/>
        </w:rPr>
        <w:t>dated</w:t>
      </w:r>
      <w:proofErr w:type="spellEnd"/>
      <w:r>
        <w:rPr>
          <w:sz w:val="20"/>
          <w:szCs w:val="20"/>
        </w:rPr>
        <w:t xml:space="preserve"> 27th </w:t>
      </w:r>
      <w:proofErr w:type="spellStart"/>
      <w:r>
        <w:rPr>
          <w:sz w:val="20"/>
          <w:szCs w:val="20"/>
        </w:rPr>
        <w:t>April</w:t>
      </w:r>
      <w:proofErr w:type="spellEnd"/>
      <w:r>
        <w:rPr>
          <w:sz w:val="20"/>
          <w:szCs w:val="20"/>
        </w:rPr>
        <w:t xml:space="preserve"> 2016 on the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individuals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regard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and on the </w:t>
      </w:r>
      <w:proofErr w:type="spellStart"/>
      <w:r>
        <w:rPr>
          <w:sz w:val="20"/>
          <w:szCs w:val="20"/>
        </w:rPr>
        <w:t>free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movement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of such data, and repealing Directive 95/46/EC (General Data Protection Regulation) hereinafter </w:t>
      </w:r>
      <w:r>
        <w:rPr>
          <w:b/>
          <w:bCs/>
          <w:sz w:val="20"/>
          <w:szCs w:val="20"/>
          <w:lang w:val="en-US"/>
        </w:rPr>
        <w:t xml:space="preserve">Regulation, </w:t>
      </w:r>
      <w:r>
        <w:rPr>
          <w:sz w:val="20"/>
          <w:szCs w:val="20"/>
          <w:lang w:val="en-US"/>
        </w:rPr>
        <w:t xml:space="preserve">personal data to process on the basis and with the purpose specified in this Agreement, while the Processor accepts these data. </w:t>
      </w:r>
    </w:p>
    <w:p w:rsidR="00464023" w:rsidRDefault="00B66A0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process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enthused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in </w:t>
      </w:r>
      <w:proofErr w:type="spellStart"/>
      <w:r>
        <w:rPr>
          <w:sz w:val="20"/>
          <w:szCs w:val="20"/>
        </w:rPr>
        <w:t>accordance</w:t>
      </w:r>
      <w:proofErr w:type="spellEnd"/>
      <w:r>
        <w:rPr>
          <w:sz w:val="20"/>
          <w:szCs w:val="20"/>
        </w:rPr>
        <w:t xml:space="preserve"> with the Agreement,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existing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rules</w:t>
      </w:r>
      <w:proofErr w:type="spellEnd"/>
      <w:r>
        <w:rPr>
          <w:sz w:val="20"/>
          <w:szCs w:val="20"/>
        </w:rPr>
        <w:t xml:space="preserve"> of law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protect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 of data </w:t>
      </w:r>
      <w:proofErr w:type="spellStart"/>
      <w:r>
        <w:rPr>
          <w:sz w:val="20"/>
          <w:szCs w:val="20"/>
        </w:rPr>
        <w:t>subjects</w:t>
      </w:r>
      <w:proofErr w:type="spellEnd"/>
      <w:r>
        <w:rPr>
          <w:sz w:val="20"/>
          <w:szCs w:val="20"/>
        </w:rPr>
        <w:t xml:space="preserve"> and in </w:t>
      </w:r>
      <w:proofErr w:type="spellStart"/>
      <w:r>
        <w:rPr>
          <w:sz w:val="20"/>
          <w:szCs w:val="20"/>
        </w:rPr>
        <w:t>accordance</w:t>
      </w:r>
      <w:proofErr w:type="spellEnd"/>
      <w:r>
        <w:rPr>
          <w:sz w:val="20"/>
          <w:szCs w:val="20"/>
        </w:rPr>
        <w:t xml:space="preserve"> with the </w:t>
      </w:r>
      <w:proofErr w:type="spellStart"/>
      <w:r>
        <w:rPr>
          <w:sz w:val="20"/>
          <w:szCs w:val="20"/>
        </w:rPr>
        <w:t>rules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binding</w:t>
      </w:r>
      <w:proofErr w:type="spellEnd"/>
      <w:r>
        <w:rPr>
          <w:sz w:val="20"/>
          <w:szCs w:val="20"/>
        </w:rPr>
        <w:t xml:space="preserve"> for the Administrator - </w:t>
      </w:r>
      <w:proofErr w:type="spellStart"/>
      <w:r>
        <w:rPr>
          <w:sz w:val="20"/>
          <w:szCs w:val="20"/>
        </w:rPr>
        <w:t>pursuant</w:t>
      </w:r>
      <w:proofErr w:type="spellEnd"/>
      <w:r>
        <w:rPr>
          <w:sz w:val="20"/>
          <w:szCs w:val="20"/>
        </w:rPr>
        <w:t xml:space="preserve"> to Security Policy and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. </w:t>
      </w:r>
    </w:p>
    <w:p w:rsidR="00464023" w:rsidRDefault="00B66A0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security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meeting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requirements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 xml:space="preserve">. </w:t>
      </w:r>
    </w:p>
    <w:p w:rsidR="00464023" w:rsidRDefault="00464023">
      <w:pPr>
        <w:pStyle w:val="Akapitzlist"/>
        <w:tabs>
          <w:tab w:val="left" w:pos="142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p w:rsidR="00464023" w:rsidRDefault="00464023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464023" w:rsidRDefault="00B66A00">
      <w:pPr>
        <w:pStyle w:val="Podtytu"/>
        <w:numPr>
          <w:ilvl w:val="0"/>
          <w:numId w:val="5"/>
        </w:numPr>
        <w:spacing w:after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Extent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purpose</w:t>
      </w:r>
      <w:proofErr w:type="spellEnd"/>
      <w:r>
        <w:rPr>
          <w:sz w:val="20"/>
          <w:szCs w:val="20"/>
        </w:rPr>
        <w:t xml:space="preserve"> of data </w:t>
      </w:r>
      <w:proofErr w:type="spellStart"/>
      <w:r>
        <w:rPr>
          <w:sz w:val="20"/>
          <w:szCs w:val="20"/>
        </w:rPr>
        <w:t>processing</w:t>
      </w:r>
      <w:proofErr w:type="spellEnd"/>
    </w:p>
    <w:p w:rsidR="00464023" w:rsidRDefault="00464023"/>
    <w:p w:rsidR="00464023" w:rsidRDefault="00B66A0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entrusted</w:t>
      </w:r>
      <w:proofErr w:type="spellEnd"/>
      <w:r>
        <w:rPr>
          <w:sz w:val="20"/>
          <w:szCs w:val="20"/>
        </w:rPr>
        <w:t xml:space="preserve"> data on the </w:t>
      </w:r>
      <w:proofErr w:type="spellStart"/>
      <w:r>
        <w:rPr>
          <w:sz w:val="20"/>
          <w:szCs w:val="20"/>
        </w:rPr>
        <w:t>basis</w:t>
      </w:r>
      <w:proofErr w:type="spellEnd"/>
      <w:r>
        <w:rPr>
          <w:sz w:val="20"/>
          <w:szCs w:val="20"/>
        </w:rPr>
        <w:t xml:space="preserve"> of the Agreement for the </w:t>
      </w:r>
      <w:proofErr w:type="spellStart"/>
      <w:r>
        <w:rPr>
          <w:sz w:val="20"/>
          <w:szCs w:val="20"/>
        </w:rPr>
        <w:t>purpose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completion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exclusively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proper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completion</w:t>
      </w:r>
      <w:proofErr w:type="spellEnd"/>
      <w:r>
        <w:rPr>
          <w:sz w:val="20"/>
          <w:szCs w:val="20"/>
        </w:rPr>
        <w:t xml:space="preserve"> of the Agreement </w:t>
      </w:r>
      <w:proofErr w:type="spellStart"/>
      <w:r>
        <w:rPr>
          <w:sz w:val="20"/>
          <w:szCs w:val="20"/>
        </w:rPr>
        <w:t>concluded</w:t>
      </w:r>
      <w:proofErr w:type="spellEnd"/>
      <w:r>
        <w:rPr>
          <w:sz w:val="20"/>
          <w:szCs w:val="20"/>
        </w:rPr>
        <w:t xml:space="preserve"> by the </w:t>
      </w:r>
      <w:proofErr w:type="spellStart"/>
      <w:r>
        <w:rPr>
          <w:sz w:val="20"/>
          <w:szCs w:val="20"/>
        </w:rPr>
        <w:t>Parties</w:t>
      </w:r>
      <w:proofErr w:type="spellEnd"/>
      <w:r>
        <w:rPr>
          <w:sz w:val="20"/>
          <w:szCs w:val="20"/>
        </w:rPr>
        <w:t xml:space="preserve">………………………..  </w:t>
      </w:r>
    </w:p>
    <w:p w:rsidR="00464023" w:rsidRDefault="00B66A0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entrusted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concern</w:t>
      </w:r>
      <w:proofErr w:type="spellEnd"/>
      <w:r>
        <w:rPr>
          <w:sz w:val="20"/>
          <w:szCs w:val="20"/>
        </w:rPr>
        <w:t>…….……………………………………………………………</w:t>
      </w:r>
    </w:p>
    <w:p w:rsidR="00464023" w:rsidRDefault="00464023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464023" w:rsidRDefault="00B66A00">
      <w:pPr>
        <w:pStyle w:val="Podtytu"/>
        <w:numPr>
          <w:ilvl w:val="0"/>
          <w:numId w:val="8"/>
        </w:numPr>
        <w:spacing w:after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Processor’s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obligations</w:t>
      </w:r>
      <w:proofErr w:type="spellEnd"/>
      <w:r>
        <w:rPr>
          <w:sz w:val="20"/>
          <w:szCs w:val="20"/>
        </w:rPr>
        <w:t xml:space="preserve"> </w:t>
      </w:r>
    </w:p>
    <w:p w:rsidR="00464023" w:rsidRDefault="00B66A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entrusted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data, to </w:t>
      </w:r>
      <w:proofErr w:type="spellStart"/>
      <w:r>
        <w:rPr>
          <w:sz w:val="20"/>
          <w:szCs w:val="20"/>
        </w:rPr>
        <w:t>secure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them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applying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appropriate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organisational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ensuring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appropriate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corresponding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risk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associated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referred</w:t>
      </w:r>
      <w:proofErr w:type="spellEnd"/>
      <w:r>
        <w:rPr>
          <w:sz w:val="20"/>
          <w:szCs w:val="20"/>
        </w:rPr>
        <w:t xml:space="preserve"> to in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32 of the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>.</w:t>
      </w:r>
    </w:p>
    <w:p w:rsidR="00464023" w:rsidRDefault="00B66A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apply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diligence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entrusted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data.</w:t>
      </w:r>
    </w:p>
    <w:p w:rsidR="00464023" w:rsidRDefault="00B66A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ensure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confidentiality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referred</w:t>
      </w:r>
      <w:proofErr w:type="spellEnd"/>
      <w:r>
        <w:rPr>
          <w:sz w:val="20"/>
          <w:szCs w:val="20"/>
        </w:rPr>
        <w:t xml:space="preserve"> to in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28 (3) (b) of the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 xml:space="preserve">, of the </w:t>
      </w:r>
      <w:proofErr w:type="spellStart"/>
      <w:r>
        <w:rPr>
          <w:sz w:val="20"/>
          <w:szCs w:val="20"/>
        </w:rPr>
        <w:t>processed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both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employment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the period of </w:t>
      </w:r>
      <w:proofErr w:type="spellStart"/>
      <w:r>
        <w:rPr>
          <w:sz w:val="20"/>
          <w:szCs w:val="20"/>
        </w:rPr>
        <w:t>agreement</w:t>
      </w:r>
      <w:proofErr w:type="spellEnd"/>
      <w:r>
        <w:rPr>
          <w:sz w:val="20"/>
          <w:szCs w:val="20"/>
        </w:rPr>
        <w:t>,</w:t>
      </w:r>
    </w:p>
    <w:p w:rsidR="00464023" w:rsidRDefault="00B66A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 xml:space="preserve"> the establishment of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breach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to the Administrator </w:t>
      </w:r>
      <w:proofErr w:type="spellStart"/>
      <w:r>
        <w:rPr>
          <w:sz w:val="20"/>
          <w:szCs w:val="20"/>
        </w:rPr>
        <w:t>within</w:t>
      </w:r>
      <w:proofErr w:type="spellEnd"/>
      <w:r>
        <w:rPr>
          <w:sz w:val="20"/>
          <w:szCs w:val="20"/>
        </w:rPr>
        <w:t xml:space="preserve"> 24 </w:t>
      </w:r>
      <w:proofErr w:type="spellStart"/>
      <w:r>
        <w:rPr>
          <w:sz w:val="20"/>
          <w:szCs w:val="20"/>
        </w:rPr>
        <w:t>hours</w:t>
      </w:r>
      <w:proofErr w:type="spellEnd"/>
      <w:r>
        <w:rPr>
          <w:sz w:val="20"/>
          <w:szCs w:val="20"/>
        </w:rPr>
        <w:t xml:space="preserve">. </w:t>
      </w:r>
    </w:p>
    <w:p w:rsidR="00464023" w:rsidRDefault="00464023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464023" w:rsidRDefault="00B66A00">
      <w:pPr>
        <w:pStyle w:val="Podtytu"/>
        <w:numPr>
          <w:ilvl w:val="0"/>
          <w:numId w:val="11"/>
        </w:num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Right of </w:t>
      </w:r>
      <w:proofErr w:type="spellStart"/>
      <w:r>
        <w:rPr>
          <w:sz w:val="20"/>
          <w:szCs w:val="20"/>
        </w:rPr>
        <w:t>scrutiny</w:t>
      </w:r>
      <w:proofErr w:type="spellEnd"/>
      <w:r>
        <w:rPr>
          <w:sz w:val="20"/>
          <w:szCs w:val="20"/>
        </w:rPr>
        <w:t xml:space="preserve"> </w:t>
      </w:r>
    </w:p>
    <w:p w:rsidR="00464023" w:rsidRDefault="00464023"/>
    <w:p w:rsidR="00464023" w:rsidRDefault="00B66A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data Administrator,, in </w:t>
      </w:r>
      <w:proofErr w:type="spellStart"/>
      <w:r>
        <w:rPr>
          <w:sz w:val="20"/>
          <w:szCs w:val="20"/>
        </w:rPr>
        <w:t>accordance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28 (3) (h) of the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right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supervise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measures</w:t>
      </w:r>
      <w:proofErr w:type="spellEnd"/>
      <w:r>
        <w:rPr>
          <w:sz w:val="20"/>
          <w:szCs w:val="20"/>
        </w:rPr>
        <w:t xml:space="preserve"> applied by 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securing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entrusted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meet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provisions</w:t>
      </w:r>
      <w:proofErr w:type="spellEnd"/>
      <w:r>
        <w:rPr>
          <w:sz w:val="20"/>
          <w:szCs w:val="20"/>
        </w:rPr>
        <w:t xml:space="preserve"> of the Agreement and </w:t>
      </w:r>
      <w:proofErr w:type="spellStart"/>
      <w:r>
        <w:rPr>
          <w:sz w:val="20"/>
          <w:szCs w:val="20"/>
        </w:rPr>
        <w:t>relevant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rules</w:t>
      </w:r>
      <w:proofErr w:type="spellEnd"/>
      <w:r>
        <w:rPr>
          <w:sz w:val="20"/>
          <w:szCs w:val="20"/>
        </w:rPr>
        <w:t xml:space="preserve"> of law.</w:t>
      </w:r>
    </w:p>
    <w:p w:rsidR="00464023" w:rsidRDefault="00B66A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data Administrator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implement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right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scrutiny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Administrator’s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hours</w:t>
      </w:r>
      <w:proofErr w:type="spellEnd"/>
    </w:p>
    <w:p w:rsidR="00464023" w:rsidRDefault="00464023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464023" w:rsidRDefault="00B66A00">
      <w:pPr>
        <w:pStyle w:val="Podtytu"/>
        <w:numPr>
          <w:ilvl w:val="0"/>
          <w:numId w:val="14"/>
        </w:numPr>
        <w:spacing w:after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Duration</w:t>
      </w:r>
      <w:proofErr w:type="spellEnd"/>
      <w:r>
        <w:rPr>
          <w:sz w:val="20"/>
          <w:szCs w:val="20"/>
        </w:rPr>
        <w:t xml:space="preserve"> of Agreement</w:t>
      </w:r>
    </w:p>
    <w:p w:rsidR="00464023" w:rsidRDefault="00B66A00">
      <w:pPr>
        <w:pStyle w:val="Akapitzlist"/>
        <w:spacing w:after="0" w:line="240" w:lineRule="auto"/>
        <w:ind w:left="284"/>
        <w:jc w:val="both"/>
        <w:rPr>
          <w:sz w:val="20"/>
          <w:szCs w:val="20"/>
          <w:shd w:val="clear" w:color="auto" w:fill="FFFF00"/>
        </w:rPr>
      </w:pPr>
      <w:r>
        <w:rPr>
          <w:sz w:val="20"/>
          <w:szCs w:val="20"/>
        </w:rPr>
        <w:t xml:space="preserve">The Agreement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effect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concluded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expiration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referred</w:t>
      </w:r>
      <w:proofErr w:type="spellEnd"/>
      <w:r>
        <w:rPr>
          <w:sz w:val="20"/>
          <w:szCs w:val="20"/>
        </w:rPr>
        <w:t xml:space="preserve"> to in §2 (1) </w:t>
      </w:r>
    </w:p>
    <w:p w:rsidR="00464023" w:rsidRDefault="00464023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464023" w:rsidRDefault="00B66A00">
      <w:pPr>
        <w:pStyle w:val="Podtytu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Rules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confidentiality</w:t>
      </w:r>
      <w:proofErr w:type="spellEnd"/>
      <w:r>
        <w:rPr>
          <w:sz w:val="20"/>
          <w:szCs w:val="20"/>
        </w:rPr>
        <w:t xml:space="preserve"> </w:t>
      </w:r>
    </w:p>
    <w:p w:rsidR="00464023" w:rsidRDefault="00B66A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maintain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secrecy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, data, materials, </w:t>
      </w:r>
      <w:proofErr w:type="spellStart"/>
      <w:r>
        <w:rPr>
          <w:sz w:val="20"/>
          <w:szCs w:val="20"/>
        </w:rPr>
        <w:t>documents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</w:t>
      </w:r>
      <w:proofErr w:type="spellStart"/>
      <w:r>
        <w:rPr>
          <w:sz w:val="20"/>
          <w:szCs w:val="20"/>
        </w:rPr>
        <w:t>received</w:t>
      </w:r>
      <w:proofErr w:type="spellEnd"/>
      <w:r>
        <w:rPr>
          <w:sz w:val="20"/>
          <w:szCs w:val="20"/>
        </w:rPr>
        <w:t xml:space="preserve"> from the data Administrator in </w:t>
      </w:r>
      <w:proofErr w:type="spellStart"/>
      <w:r>
        <w:rPr>
          <w:sz w:val="20"/>
          <w:szCs w:val="20"/>
        </w:rPr>
        <w:t>relation</w:t>
      </w:r>
      <w:proofErr w:type="spellEnd"/>
      <w:r>
        <w:rPr>
          <w:sz w:val="20"/>
          <w:szCs w:val="20"/>
        </w:rPr>
        <w:t xml:space="preserve"> to the performance of the Agreement </w:t>
      </w:r>
      <w:proofErr w:type="spellStart"/>
      <w:r>
        <w:rPr>
          <w:sz w:val="20"/>
          <w:szCs w:val="20"/>
        </w:rPr>
        <w:t>hereinafter</w:t>
      </w:r>
      <w:proofErr w:type="spellEnd"/>
      <w:r>
        <w:rPr>
          <w:sz w:val="20"/>
          <w:szCs w:val="20"/>
        </w:rPr>
        <w:t xml:space="preserve"> as </w:t>
      </w:r>
      <w:r>
        <w:rPr>
          <w:b/>
          <w:bCs/>
          <w:sz w:val="20"/>
          <w:szCs w:val="20"/>
        </w:rPr>
        <w:t>‚</w:t>
      </w:r>
      <w:proofErr w:type="spellStart"/>
      <w:r>
        <w:rPr>
          <w:b/>
          <w:bCs/>
          <w:sz w:val="20"/>
          <w:szCs w:val="20"/>
        </w:rPr>
        <w:t>confidential</w:t>
      </w:r>
      <w:proofErr w:type="spellEnd"/>
      <w:r>
        <w:rPr>
          <w:b/>
          <w:bCs/>
          <w:sz w:val="20"/>
          <w:szCs w:val="20"/>
        </w:rPr>
        <w:t xml:space="preserve"> data’. </w:t>
      </w:r>
    </w:p>
    <w:p w:rsidR="00464023" w:rsidRDefault="00B66A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</w:t>
      </w:r>
      <w:proofErr w:type="spellStart"/>
      <w:r>
        <w:rPr>
          <w:sz w:val="20"/>
          <w:szCs w:val="20"/>
        </w:rPr>
        <w:t>Processor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relation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obligation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maintain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secrecy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confidential</w:t>
      </w:r>
      <w:proofErr w:type="spellEnd"/>
      <w:r>
        <w:rPr>
          <w:sz w:val="20"/>
          <w:szCs w:val="20"/>
        </w:rPr>
        <w:t xml:space="preserve"> data,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not be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revealed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written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consent</w:t>
      </w:r>
      <w:proofErr w:type="spellEnd"/>
      <w:r>
        <w:rPr>
          <w:sz w:val="20"/>
          <w:szCs w:val="20"/>
        </w:rPr>
        <w:t xml:space="preserve"> of the data Administrator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the of the Agreement performance, </w:t>
      </w:r>
      <w:proofErr w:type="spellStart"/>
      <w:r>
        <w:rPr>
          <w:sz w:val="20"/>
          <w:szCs w:val="20"/>
        </w:rPr>
        <w:t>unless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need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disclose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possessed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results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binding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rules</w:t>
      </w:r>
      <w:proofErr w:type="spellEnd"/>
      <w:r>
        <w:rPr>
          <w:sz w:val="20"/>
          <w:szCs w:val="20"/>
        </w:rPr>
        <w:t xml:space="preserve"> of law, </w:t>
      </w:r>
      <w:proofErr w:type="spellStart"/>
      <w:r>
        <w:rPr>
          <w:sz w:val="20"/>
          <w:szCs w:val="20"/>
        </w:rPr>
        <w:t>decision</w:t>
      </w:r>
      <w:proofErr w:type="spellEnd"/>
      <w:r>
        <w:rPr>
          <w:sz w:val="20"/>
          <w:szCs w:val="20"/>
        </w:rPr>
        <w:t xml:space="preserve"> by the </w:t>
      </w:r>
      <w:proofErr w:type="spellStart"/>
      <w:r>
        <w:rPr>
          <w:sz w:val="20"/>
          <w:szCs w:val="20"/>
        </w:rPr>
        <w:t>court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competent</w:t>
      </w:r>
      <w:proofErr w:type="spellEnd"/>
      <w:r>
        <w:rPr>
          <w:sz w:val="20"/>
          <w:szCs w:val="20"/>
        </w:rPr>
        <w:t xml:space="preserve"> authority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the Agreement. </w:t>
      </w:r>
    </w:p>
    <w:p w:rsidR="00464023" w:rsidRDefault="00464023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464023" w:rsidRDefault="00B66A00">
      <w:pPr>
        <w:pStyle w:val="Podtytu"/>
        <w:numPr>
          <w:ilvl w:val="0"/>
          <w:numId w:val="17"/>
        </w:numPr>
        <w:spacing w:after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Final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provisions</w:t>
      </w:r>
      <w:proofErr w:type="spellEnd"/>
    </w:p>
    <w:p w:rsidR="00464023" w:rsidRDefault="00B66A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Agreement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prepared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copies</w:t>
      </w:r>
      <w:proofErr w:type="spellEnd"/>
      <w:r>
        <w:rPr>
          <w:sz w:val="20"/>
          <w:szCs w:val="20"/>
        </w:rPr>
        <w:t xml:space="preserve">, one for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Party,</w:t>
      </w:r>
    </w:p>
    <w:p w:rsidR="00464023" w:rsidRDefault="00B66A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amendments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additions</w:t>
      </w:r>
      <w:proofErr w:type="spellEnd"/>
      <w:r>
        <w:rPr>
          <w:sz w:val="20"/>
          <w:szCs w:val="20"/>
        </w:rPr>
        <w:t xml:space="preserve"> of the Agreement for </w:t>
      </w:r>
      <w:proofErr w:type="spellStart"/>
      <w:r>
        <w:rPr>
          <w:sz w:val="20"/>
          <w:szCs w:val="20"/>
        </w:rPr>
        <w:t>validity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be in </w:t>
      </w:r>
      <w:proofErr w:type="spellStart"/>
      <w:r>
        <w:rPr>
          <w:sz w:val="20"/>
          <w:szCs w:val="20"/>
        </w:rPr>
        <w:t>writing</w:t>
      </w:r>
      <w:proofErr w:type="spellEnd"/>
    </w:p>
    <w:p w:rsidR="00464023" w:rsidRDefault="00B66A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matters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regulated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agreement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provisions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Civil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Regulations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apply</w:t>
      </w:r>
      <w:proofErr w:type="spellEnd"/>
      <w:r>
        <w:rPr>
          <w:sz w:val="20"/>
          <w:szCs w:val="20"/>
        </w:rPr>
        <w:t>.</w:t>
      </w:r>
    </w:p>
    <w:p w:rsidR="00464023" w:rsidRDefault="00B66A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appropriate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disputes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arising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the Agreement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court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competent</w:t>
      </w:r>
      <w:proofErr w:type="spellEnd"/>
      <w:r>
        <w:rPr>
          <w:sz w:val="20"/>
          <w:szCs w:val="20"/>
        </w:rPr>
        <w:t xml:space="preserve"> for the </w:t>
      </w:r>
      <w:proofErr w:type="spellStart"/>
      <w:r>
        <w:rPr>
          <w:sz w:val="20"/>
          <w:szCs w:val="20"/>
        </w:rPr>
        <w:t>registered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</w:t>
      </w:r>
      <w:proofErr w:type="spellEnd"/>
      <w:r>
        <w:rPr>
          <w:sz w:val="20"/>
          <w:szCs w:val="20"/>
        </w:rPr>
        <w:t xml:space="preserve"> of the Administrator.</w:t>
      </w:r>
    </w:p>
    <w:p w:rsidR="00464023" w:rsidRDefault="00464023">
      <w:pPr>
        <w:spacing w:line="240" w:lineRule="auto"/>
        <w:jc w:val="center"/>
        <w:rPr>
          <w:b/>
          <w:bCs/>
          <w:sz w:val="20"/>
          <w:szCs w:val="20"/>
        </w:rPr>
      </w:pPr>
    </w:p>
    <w:p w:rsidR="00464023" w:rsidRDefault="00464023">
      <w:pPr>
        <w:spacing w:line="240" w:lineRule="auto"/>
        <w:jc w:val="center"/>
        <w:rPr>
          <w:b/>
          <w:bCs/>
          <w:sz w:val="20"/>
          <w:szCs w:val="20"/>
        </w:rPr>
      </w:pPr>
    </w:p>
    <w:p w:rsidR="00464023" w:rsidRDefault="00464023">
      <w:pPr>
        <w:spacing w:line="240" w:lineRule="auto"/>
        <w:jc w:val="center"/>
        <w:rPr>
          <w:b/>
          <w:bCs/>
          <w:sz w:val="20"/>
          <w:szCs w:val="20"/>
        </w:rPr>
      </w:pPr>
    </w:p>
    <w:p w:rsidR="00464023" w:rsidRDefault="00B66A0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Administrator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Processor</w:t>
      </w:r>
      <w:proofErr w:type="spellEnd"/>
    </w:p>
    <w:p w:rsidR="00464023" w:rsidRDefault="00464023">
      <w:pPr>
        <w:pStyle w:val="Stopka"/>
      </w:pPr>
    </w:p>
    <w:p w:rsidR="00464023" w:rsidRDefault="00464023">
      <w:pPr>
        <w:pStyle w:val="Stopka"/>
        <w:rPr>
          <w:sz w:val="18"/>
          <w:szCs w:val="18"/>
        </w:rPr>
      </w:pPr>
    </w:p>
    <w:p w:rsidR="00464023" w:rsidRDefault="00464023"/>
    <w:p w:rsidR="00464023" w:rsidRDefault="00464023"/>
    <w:p w:rsidR="00464023" w:rsidRDefault="00464023"/>
    <w:p w:rsidR="00464023" w:rsidRDefault="00B66A00">
      <w:pPr>
        <w:tabs>
          <w:tab w:val="left" w:pos="2700"/>
        </w:tabs>
      </w:pPr>
      <w:r>
        <w:tab/>
      </w:r>
    </w:p>
    <w:sectPr w:rsidR="00464023">
      <w:headerReference w:type="default" r:id="rId7"/>
      <w:footerReference w:type="default" r:id="rId8"/>
      <w:pgSz w:w="11900" w:h="16840"/>
      <w:pgMar w:top="397" w:right="737" w:bottom="397" w:left="737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78" w:rsidRDefault="00A14378">
      <w:pPr>
        <w:spacing w:after="0" w:line="240" w:lineRule="auto"/>
      </w:pPr>
      <w:r>
        <w:separator/>
      </w:r>
    </w:p>
  </w:endnote>
  <w:endnote w:type="continuationSeparator" w:id="0">
    <w:p w:rsidR="00A14378" w:rsidRDefault="00A1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23" w:rsidRDefault="0046402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78" w:rsidRDefault="00A14378">
      <w:pPr>
        <w:spacing w:after="0" w:line="240" w:lineRule="auto"/>
      </w:pPr>
      <w:r>
        <w:separator/>
      </w:r>
    </w:p>
  </w:footnote>
  <w:footnote w:type="continuationSeparator" w:id="0">
    <w:p w:rsidR="00A14378" w:rsidRDefault="00A1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23" w:rsidRDefault="00B66A0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4822825</wp:posOffset>
          </wp:positionH>
          <wp:positionV relativeFrom="page">
            <wp:posOffset>481330</wp:posOffset>
          </wp:positionV>
          <wp:extent cx="2179320" cy="643255"/>
          <wp:effectExtent l="0" t="0" r="0" b="0"/>
          <wp:wrapNone/>
          <wp:docPr id="1073741825" name="officeArt object" descr="C:\Users\mkrupa\Desktop\PROMOCJA\LOGOTYPY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krupa\Desktop\PROMOCJA\LOGOTYPY\UE_EFS\POZIOM\POLSKI\EU_EFS_rgb-3.jpg" descr="C:\Users\mkrupa\Desktop\PROMOCJA\LOGOTYPY\UE_EFS\POZIOM\POLSKI\EU_EFS_rgb-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1047750</wp:posOffset>
          </wp:positionH>
          <wp:positionV relativeFrom="page">
            <wp:posOffset>391795</wp:posOffset>
          </wp:positionV>
          <wp:extent cx="1761490" cy="829310"/>
          <wp:effectExtent l="0" t="0" r="0" b="0"/>
          <wp:wrapNone/>
          <wp:docPr id="1073741826" name="officeArt object" descr="C:\Users\mkrupa\Desktop\PROMOCJA\LOGOTYPY\FE_POWER\POZIOM\POLSKI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krupa\Desktop\PROMOCJA\LOGOTYPY\FE_POWER\POZIOM\POLSKI\logo_FE_Wiedza_Edukacja_Rozwoj_rgb-4.jpg" descr="C:\Users\mkrupa\Desktop\PROMOCJA\LOGOTYPY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829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64023" w:rsidRDefault="00464023"/>
  <w:p w:rsidR="00464023" w:rsidRDefault="00464023"/>
  <w:p w:rsidR="00464023" w:rsidRDefault="00464023">
    <w:pPr>
      <w:pStyle w:val="Nagwek"/>
    </w:pPr>
  </w:p>
  <w:p w:rsidR="00464023" w:rsidRDefault="004640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16C"/>
    <w:multiLevelType w:val="hybridMultilevel"/>
    <w:tmpl w:val="2034D7CA"/>
    <w:styleLink w:val="Zaimportowanystyl3"/>
    <w:lvl w:ilvl="0" w:tplc="0FB2A2DC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88ABA">
      <w:start w:val="1"/>
      <w:numFmt w:val="lowerLetter"/>
      <w:lvlText w:val="%2."/>
      <w:lvlJc w:val="left"/>
      <w:pPr>
        <w:tabs>
          <w:tab w:val="left" w:pos="142"/>
          <w:tab w:val="num" w:pos="2760"/>
        </w:tabs>
        <w:ind w:left="29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4811C">
      <w:start w:val="1"/>
      <w:numFmt w:val="lowerLetter"/>
      <w:lvlText w:val="%3)"/>
      <w:lvlJc w:val="left"/>
      <w:pPr>
        <w:tabs>
          <w:tab w:val="left" w:pos="142"/>
          <w:tab w:val="num" w:pos="1904"/>
        </w:tabs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0E2B4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C685C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2B270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AFC4E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C5752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0B96C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53510"/>
    <w:multiLevelType w:val="hybridMultilevel"/>
    <w:tmpl w:val="2034D7CA"/>
    <w:numStyleLink w:val="Zaimportowanystyl3"/>
  </w:abstractNum>
  <w:abstractNum w:abstractNumId="2" w15:restartNumberingAfterBreak="0">
    <w:nsid w:val="16F55A07"/>
    <w:multiLevelType w:val="hybridMultilevel"/>
    <w:tmpl w:val="09BCB6BA"/>
    <w:styleLink w:val="Zaimportowanystyl7"/>
    <w:lvl w:ilvl="0" w:tplc="98B24F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2A64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E728C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EAFD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2FBE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0A5672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26C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609E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E26B2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0B6E09"/>
    <w:multiLevelType w:val="hybridMultilevel"/>
    <w:tmpl w:val="4996534C"/>
    <w:styleLink w:val="Zaimportowanystyl5"/>
    <w:lvl w:ilvl="0" w:tplc="18A613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8E25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2346E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EAC3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8102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C2E0A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8409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8FB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2685E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5855"/>
    <w:multiLevelType w:val="hybridMultilevel"/>
    <w:tmpl w:val="09BCB6BA"/>
    <w:numStyleLink w:val="Zaimportowanystyl7"/>
  </w:abstractNum>
  <w:abstractNum w:abstractNumId="5" w15:restartNumberingAfterBreak="0">
    <w:nsid w:val="208E297D"/>
    <w:multiLevelType w:val="hybridMultilevel"/>
    <w:tmpl w:val="C10432EA"/>
    <w:numStyleLink w:val="Zaimportowanystyl6"/>
  </w:abstractNum>
  <w:abstractNum w:abstractNumId="6" w15:restartNumberingAfterBreak="0">
    <w:nsid w:val="2A0A6D14"/>
    <w:multiLevelType w:val="hybridMultilevel"/>
    <w:tmpl w:val="C10432EA"/>
    <w:styleLink w:val="Zaimportowanystyl6"/>
    <w:lvl w:ilvl="0" w:tplc="96BC4F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E012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291DE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A74B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EFB0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1F2A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CC2B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243CC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6CE0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FA6E11"/>
    <w:multiLevelType w:val="hybridMultilevel"/>
    <w:tmpl w:val="A000A5C8"/>
    <w:styleLink w:val="Zaimportowanystyl2"/>
    <w:lvl w:ilvl="0" w:tplc="5618307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2BA0C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E4AD4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AD2AE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E95FC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21A0A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270E8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26978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0B5BA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5C6D41"/>
    <w:multiLevelType w:val="hybridMultilevel"/>
    <w:tmpl w:val="58B22B38"/>
    <w:styleLink w:val="Zaimportowanystyl4"/>
    <w:lvl w:ilvl="0" w:tplc="5088E464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ECDD0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A67E2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46C46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6CF2E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02C22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0CAAE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C8638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E6576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A84DD5"/>
    <w:multiLevelType w:val="hybridMultilevel"/>
    <w:tmpl w:val="81C61356"/>
    <w:numStyleLink w:val="Zaimportowanystyl1"/>
  </w:abstractNum>
  <w:abstractNum w:abstractNumId="10" w15:restartNumberingAfterBreak="0">
    <w:nsid w:val="6ED76AF7"/>
    <w:multiLevelType w:val="hybridMultilevel"/>
    <w:tmpl w:val="81C61356"/>
    <w:styleLink w:val="Zaimportowanystyl1"/>
    <w:lvl w:ilvl="0" w:tplc="4DEA5EFA">
      <w:start w:val="1"/>
      <w:numFmt w:val="decimal"/>
      <w:suff w:val="nothing"/>
      <w:lvlText w:val="%1."/>
      <w:lvlJc w:val="left"/>
      <w:pPr>
        <w:ind w:left="2835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46C74">
      <w:start w:val="1"/>
      <w:numFmt w:val="decimal"/>
      <w:lvlText w:val="%2)"/>
      <w:lvlJc w:val="left"/>
      <w:pPr>
        <w:ind w:left="611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001E32">
      <w:start w:val="1"/>
      <w:numFmt w:val="decimal"/>
      <w:lvlText w:val="%3."/>
      <w:lvlJc w:val="left"/>
      <w:pPr>
        <w:ind w:left="1057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45B1C">
      <w:start w:val="1"/>
      <w:numFmt w:val="decimal"/>
      <w:lvlText w:val="%4."/>
      <w:lvlJc w:val="left"/>
      <w:pPr>
        <w:ind w:left="1537" w:hanging="4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02536">
      <w:start w:val="1"/>
      <w:numFmt w:val="lowerLetter"/>
      <w:lvlText w:val="%5."/>
      <w:lvlJc w:val="left"/>
      <w:pPr>
        <w:ind w:left="2257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835AA">
      <w:start w:val="1"/>
      <w:numFmt w:val="lowerRoman"/>
      <w:lvlText w:val="%6."/>
      <w:lvlJc w:val="left"/>
      <w:pPr>
        <w:ind w:left="2977" w:hanging="3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42BEA">
      <w:start w:val="1"/>
      <w:numFmt w:val="decimal"/>
      <w:lvlText w:val="%7."/>
      <w:lvlJc w:val="left"/>
      <w:pPr>
        <w:ind w:left="3697" w:hanging="4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8A712">
      <w:start w:val="1"/>
      <w:numFmt w:val="lowerLetter"/>
      <w:lvlText w:val="%8."/>
      <w:lvlJc w:val="left"/>
      <w:pPr>
        <w:ind w:left="4417" w:hanging="4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86CEA">
      <w:start w:val="1"/>
      <w:numFmt w:val="lowerRoman"/>
      <w:lvlText w:val="%9."/>
      <w:lvlJc w:val="left"/>
      <w:pPr>
        <w:ind w:left="5137" w:hanging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2A162F6"/>
    <w:multiLevelType w:val="hybridMultilevel"/>
    <w:tmpl w:val="A000A5C8"/>
    <w:numStyleLink w:val="Zaimportowanystyl2"/>
  </w:abstractNum>
  <w:abstractNum w:abstractNumId="12" w15:restartNumberingAfterBreak="0">
    <w:nsid w:val="72D0739D"/>
    <w:multiLevelType w:val="hybridMultilevel"/>
    <w:tmpl w:val="4996534C"/>
    <w:numStyleLink w:val="Zaimportowanystyl5"/>
  </w:abstractNum>
  <w:abstractNum w:abstractNumId="13" w15:restartNumberingAfterBreak="0">
    <w:nsid w:val="761855BE"/>
    <w:multiLevelType w:val="hybridMultilevel"/>
    <w:tmpl w:val="58B22B38"/>
    <w:numStyleLink w:val="Zaimportowanystyl4"/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9"/>
    <w:lvlOverride w:ilvl="0">
      <w:startOverride w:val="2"/>
      <w:lvl w:ilvl="0" w:tplc="64381BB2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2835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64C688">
        <w:start w:val="1"/>
        <w:numFmt w:val="decimal"/>
        <w:lvlText w:val="%2)"/>
        <w:lvlJc w:val="left"/>
        <w:pPr>
          <w:tabs>
            <w:tab w:val="left" w:pos="142"/>
          </w:tabs>
          <w:ind w:left="611" w:hanging="4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520D36">
        <w:start w:val="1"/>
        <w:numFmt w:val="decimal"/>
        <w:lvlText w:val="%3."/>
        <w:lvlJc w:val="left"/>
        <w:pPr>
          <w:tabs>
            <w:tab w:val="left" w:pos="142"/>
          </w:tabs>
          <w:ind w:left="1057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9E800C">
        <w:start w:val="1"/>
        <w:numFmt w:val="decimal"/>
        <w:lvlText w:val="%4."/>
        <w:lvlJc w:val="left"/>
        <w:pPr>
          <w:tabs>
            <w:tab w:val="left" w:pos="142"/>
          </w:tabs>
          <w:ind w:left="1537" w:hanging="4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5A259E">
        <w:start w:val="1"/>
        <w:numFmt w:val="lowerLetter"/>
        <w:lvlText w:val="%5."/>
        <w:lvlJc w:val="left"/>
        <w:pPr>
          <w:tabs>
            <w:tab w:val="left" w:pos="142"/>
          </w:tabs>
          <w:ind w:left="2257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A80122">
        <w:start w:val="1"/>
        <w:numFmt w:val="lowerRoman"/>
        <w:lvlText w:val="%6."/>
        <w:lvlJc w:val="left"/>
        <w:pPr>
          <w:tabs>
            <w:tab w:val="left" w:pos="142"/>
          </w:tabs>
          <w:ind w:left="2977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E23150">
        <w:start w:val="1"/>
        <w:numFmt w:val="decimal"/>
        <w:lvlText w:val="%7."/>
        <w:lvlJc w:val="left"/>
        <w:pPr>
          <w:tabs>
            <w:tab w:val="left" w:pos="142"/>
          </w:tabs>
          <w:ind w:left="3697" w:hanging="4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E617C4">
        <w:start w:val="1"/>
        <w:numFmt w:val="lowerLetter"/>
        <w:lvlText w:val="%8."/>
        <w:lvlJc w:val="left"/>
        <w:pPr>
          <w:tabs>
            <w:tab w:val="left" w:pos="142"/>
          </w:tabs>
          <w:ind w:left="4417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C4F928">
        <w:start w:val="1"/>
        <w:numFmt w:val="lowerRoman"/>
        <w:lvlText w:val="%9."/>
        <w:lvlJc w:val="left"/>
        <w:pPr>
          <w:tabs>
            <w:tab w:val="left" w:pos="142"/>
          </w:tabs>
          <w:ind w:left="5137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  <w:num w:numId="8">
    <w:abstractNumId w:val="9"/>
    <w:lvlOverride w:ilvl="0">
      <w:startOverride w:val="3"/>
    </w:lvlOverride>
  </w:num>
  <w:num w:numId="9">
    <w:abstractNumId w:val="8"/>
  </w:num>
  <w:num w:numId="10">
    <w:abstractNumId w:val="13"/>
  </w:num>
  <w:num w:numId="11">
    <w:abstractNumId w:val="9"/>
    <w:lvlOverride w:ilvl="0">
      <w:startOverride w:val="4"/>
    </w:lvlOverride>
  </w:num>
  <w:num w:numId="12">
    <w:abstractNumId w:val="3"/>
  </w:num>
  <w:num w:numId="13">
    <w:abstractNumId w:val="12"/>
  </w:num>
  <w:num w:numId="14">
    <w:abstractNumId w:val="9"/>
    <w:lvlOverride w:ilvl="0">
      <w:startOverride w:val="5"/>
    </w:lvlOverride>
  </w:num>
  <w:num w:numId="15">
    <w:abstractNumId w:val="6"/>
  </w:num>
  <w:num w:numId="16">
    <w:abstractNumId w:val="5"/>
  </w:num>
  <w:num w:numId="17">
    <w:abstractNumId w:val="9"/>
    <w:lvlOverride w:ilvl="0">
      <w:startOverride w:val="7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23"/>
    <w:rsid w:val="00304E39"/>
    <w:rsid w:val="00426FD4"/>
    <w:rsid w:val="00464023"/>
    <w:rsid w:val="008D54A2"/>
    <w:rsid w:val="008F43DB"/>
    <w:rsid w:val="00A14378"/>
    <w:rsid w:val="00B66A00"/>
    <w:rsid w:val="00B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B7846"/>
  <w15:docId w15:val="{8DFCC5DA-7C34-45AC-855F-D267C81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next w:val="Normalny"/>
    <w:uiPriority w:val="11"/>
    <w:qFormat/>
    <w:pPr>
      <w:keepNext/>
      <w:spacing w:after="160"/>
      <w:jc w:val="center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Ewa Cofur Machura</cp:lastModifiedBy>
  <cp:revision>4</cp:revision>
  <dcterms:created xsi:type="dcterms:W3CDTF">2019-11-27T08:21:00Z</dcterms:created>
  <dcterms:modified xsi:type="dcterms:W3CDTF">2019-11-27T09:14:00Z</dcterms:modified>
</cp:coreProperties>
</file>